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4F4DA" w14:textId="317010AC" w:rsidR="003B2629" w:rsidRPr="00BB6660" w:rsidRDefault="003B2629" w:rsidP="003B2629">
      <w:pPr>
        <w:pStyle w:val="Tit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835"/>
        <w:rPr>
          <w:rFonts w:asciiTheme="minorHAnsi" w:hAnsiTheme="minorHAnsi"/>
          <w:sz w:val="30"/>
          <w:szCs w:val="30"/>
        </w:rPr>
      </w:pPr>
      <w:r w:rsidRPr="00BB6660">
        <w:rPr>
          <w:rFonts w:asciiTheme="minorHAnsi" w:hAnsiTheme="minorHAnsi"/>
          <w:sz w:val="30"/>
          <w:szCs w:val="30"/>
        </w:rPr>
        <w:t>Rapport n°</w:t>
      </w:r>
      <w:r w:rsidR="00C0516A">
        <w:rPr>
          <w:rFonts w:asciiTheme="minorHAnsi" w:hAnsiTheme="minorHAnsi"/>
          <w:sz w:val="30"/>
          <w:szCs w:val="30"/>
        </w:rPr>
        <w:t>2</w:t>
      </w:r>
      <w:r w:rsidR="00BB5311">
        <w:rPr>
          <w:rFonts w:asciiTheme="minorHAnsi" w:hAnsiTheme="minorHAnsi"/>
          <w:sz w:val="30"/>
          <w:szCs w:val="30"/>
        </w:rPr>
        <w:t> :</w:t>
      </w:r>
    </w:p>
    <w:p w14:paraId="1CD240F0" w14:textId="77777777" w:rsidR="003B2629" w:rsidRDefault="003B2629" w:rsidP="003B2629">
      <w:pPr>
        <w:spacing w:after="120"/>
        <w:rPr>
          <w:b/>
          <w:bCs/>
          <w:szCs w:val="32"/>
          <w:u w:val="single"/>
        </w:rPr>
      </w:pPr>
    </w:p>
    <w:p w14:paraId="491206B0" w14:textId="1DC80727" w:rsidR="003B2629" w:rsidRPr="00455EF5" w:rsidRDefault="003B2629" w:rsidP="00116CEB">
      <w:pPr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Objet</w:t>
      </w:r>
      <w:r w:rsidR="007952E5">
        <w:rPr>
          <w:b/>
          <w:bCs/>
          <w:sz w:val="30"/>
          <w:szCs w:val="30"/>
        </w:rPr>
        <w:t> :</w:t>
      </w:r>
      <w:r w:rsidR="00CD7B50">
        <w:rPr>
          <w:b/>
          <w:bCs/>
          <w:sz w:val="30"/>
          <w:szCs w:val="30"/>
        </w:rPr>
        <w:t xml:space="preserve"> </w:t>
      </w:r>
      <w:r w:rsidR="00C0516A">
        <w:rPr>
          <w:b/>
          <w:bCs/>
          <w:sz w:val="30"/>
          <w:szCs w:val="30"/>
        </w:rPr>
        <w:t>A</w:t>
      </w:r>
      <w:r w:rsidR="00116CEB">
        <w:rPr>
          <w:b/>
          <w:bCs/>
          <w:sz w:val="30"/>
          <w:szCs w:val="30"/>
        </w:rPr>
        <w:t xml:space="preserve">dhésion </w:t>
      </w:r>
      <w:r w:rsidR="00C0516A">
        <w:rPr>
          <w:b/>
          <w:bCs/>
          <w:sz w:val="30"/>
          <w:szCs w:val="30"/>
        </w:rPr>
        <w:t xml:space="preserve">à la convention de participation </w:t>
      </w:r>
      <w:r w:rsidR="00E2271B">
        <w:rPr>
          <w:b/>
          <w:bCs/>
          <w:sz w:val="30"/>
          <w:szCs w:val="30"/>
        </w:rPr>
        <w:t xml:space="preserve">pour la garantie « prévoyance » </w:t>
      </w:r>
    </w:p>
    <w:p w14:paraId="53975D10" w14:textId="77777777" w:rsidR="003B2629" w:rsidRPr="00D86F9F" w:rsidRDefault="003B2629" w:rsidP="00D86F9F">
      <w:pPr>
        <w:spacing w:after="120" w:line="240" w:lineRule="auto"/>
        <w:rPr>
          <w:rFonts w:cstheme="minorHAnsi"/>
          <w:szCs w:val="32"/>
        </w:rPr>
      </w:pPr>
    </w:p>
    <w:p w14:paraId="70DA0175" w14:textId="77777777" w:rsidR="00D63765" w:rsidRPr="00D86F9F" w:rsidRDefault="00D63765" w:rsidP="00D86F9F">
      <w:pPr>
        <w:spacing w:after="120" w:line="240" w:lineRule="auto"/>
        <w:rPr>
          <w:rFonts w:cstheme="minorHAnsi"/>
          <w:szCs w:val="32"/>
        </w:rPr>
      </w:pPr>
    </w:p>
    <w:p w14:paraId="7676CCC1" w14:textId="4768CD98" w:rsidR="003B2629" w:rsidRPr="00D86F9F" w:rsidRDefault="003B2629" w:rsidP="00D86F9F">
      <w:pPr>
        <w:spacing w:after="120" w:line="240" w:lineRule="auto"/>
        <w:jc w:val="both"/>
        <w:rPr>
          <w:rFonts w:cstheme="minorHAnsi"/>
          <w:i/>
        </w:rPr>
      </w:pPr>
      <w:r w:rsidRPr="00D86F9F">
        <w:rPr>
          <w:rFonts w:cstheme="minorHAnsi"/>
          <w:i/>
        </w:rPr>
        <w:t xml:space="preserve">Rapporteur : </w:t>
      </w:r>
    </w:p>
    <w:p w14:paraId="4699EDA4" w14:textId="77777777" w:rsidR="0096561C" w:rsidRPr="00D86F9F" w:rsidRDefault="0096561C" w:rsidP="00D86F9F">
      <w:pPr>
        <w:spacing w:after="120" w:line="240" w:lineRule="auto"/>
        <w:jc w:val="both"/>
        <w:rPr>
          <w:rFonts w:cstheme="minorHAnsi"/>
          <w:i/>
        </w:rPr>
      </w:pPr>
    </w:p>
    <w:p w14:paraId="3E00EBDE" w14:textId="77777777" w:rsidR="00562DD7" w:rsidRDefault="00562DD7" w:rsidP="00D86F9F">
      <w:pPr>
        <w:spacing w:after="120" w:line="240" w:lineRule="auto"/>
        <w:jc w:val="both"/>
        <w:rPr>
          <w:rFonts w:cstheme="minorHAnsi"/>
        </w:rPr>
      </w:pPr>
    </w:p>
    <w:p w14:paraId="1A3E8B37" w14:textId="18BA4BF6" w:rsidR="009D69C4" w:rsidRPr="00D86F9F" w:rsidRDefault="009D69C4" w:rsidP="00D86F9F">
      <w:pPr>
        <w:spacing w:after="120" w:line="240" w:lineRule="auto"/>
        <w:jc w:val="both"/>
        <w:rPr>
          <w:rStyle w:val="lev"/>
          <w:rFonts w:cstheme="minorHAnsi"/>
          <w:b w:val="0"/>
          <w:shd w:val="clear" w:color="auto" w:fill="FFFFFF"/>
        </w:rPr>
      </w:pPr>
      <w:r w:rsidRPr="00D86F9F">
        <w:rPr>
          <w:rFonts w:cstheme="minorHAnsi"/>
        </w:rPr>
        <w:t>Vu le décret n°</w:t>
      </w:r>
      <w:r w:rsidR="00D86F9F">
        <w:rPr>
          <w:rFonts w:cstheme="minorHAnsi"/>
        </w:rPr>
        <w:t xml:space="preserve"> </w:t>
      </w:r>
      <w:r w:rsidRPr="00D86F9F">
        <w:rPr>
          <w:rFonts w:cstheme="minorHAnsi"/>
        </w:rPr>
        <w:t>2011-1474 du 8 novembre 2011 relatif à la participation des collectivités territoriales et de leurs établissements publics au financement de la protection complémentaire de leurs agents,</w:t>
      </w:r>
    </w:p>
    <w:p w14:paraId="6C6F8044" w14:textId="2F9A1071" w:rsidR="005B64C3" w:rsidRPr="00D86F9F" w:rsidRDefault="005B64C3" w:rsidP="00D86F9F">
      <w:pPr>
        <w:spacing w:after="120" w:line="240" w:lineRule="auto"/>
        <w:jc w:val="both"/>
        <w:rPr>
          <w:rFonts w:cstheme="minorHAnsi"/>
          <w:shd w:val="clear" w:color="auto" w:fill="FFFFFF"/>
        </w:rPr>
      </w:pPr>
      <w:r w:rsidRPr="00D86F9F">
        <w:rPr>
          <w:rStyle w:val="lev"/>
          <w:rFonts w:cstheme="minorHAnsi"/>
          <w:b w:val="0"/>
          <w:shd w:val="clear" w:color="auto" w:fill="FFFFFF"/>
        </w:rPr>
        <w:t xml:space="preserve">Vu </w:t>
      </w:r>
      <w:r w:rsidR="009D69C4" w:rsidRPr="00D86F9F">
        <w:rPr>
          <w:rFonts w:cstheme="minorHAnsi"/>
          <w:shd w:val="clear" w:color="auto" w:fill="FFFFFF"/>
        </w:rPr>
        <w:t>l</w:t>
      </w:r>
      <w:r w:rsidR="00304156" w:rsidRPr="00D86F9F">
        <w:rPr>
          <w:rFonts w:cstheme="minorHAnsi"/>
          <w:shd w:val="clear" w:color="auto" w:fill="FFFFFF"/>
        </w:rPr>
        <w:t xml:space="preserve">es </w:t>
      </w:r>
      <w:r w:rsidR="009D69C4" w:rsidRPr="00D86F9F">
        <w:rPr>
          <w:rFonts w:cstheme="minorHAnsi"/>
          <w:shd w:val="clear" w:color="auto" w:fill="FFFFFF"/>
        </w:rPr>
        <w:t>article</w:t>
      </w:r>
      <w:r w:rsidR="00304156" w:rsidRPr="00D86F9F">
        <w:rPr>
          <w:rFonts w:cstheme="minorHAnsi"/>
          <w:shd w:val="clear" w:color="auto" w:fill="FFFFFF"/>
        </w:rPr>
        <w:t>s</w:t>
      </w:r>
      <w:r w:rsidR="009D69C4" w:rsidRPr="00D86F9F">
        <w:rPr>
          <w:rFonts w:cstheme="minorHAnsi"/>
          <w:shd w:val="clear" w:color="auto" w:fill="FFFFFF"/>
        </w:rPr>
        <w:t xml:space="preserve"> L</w:t>
      </w:r>
      <w:r w:rsidR="00E75508">
        <w:rPr>
          <w:rFonts w:cstheme="minorHAnsi"/>
          <w:shd w:val="clear" w:color="auto" w:fill="FFFFFF"/>
        </w:rPr>
        <w:t xml:space="preserve"> </w:t>
      </w:r>
      <w:r w:rsidR="009D69C4" w:rsidRPr="00D86F9F">
        <w:rPr>
          <w:rFonts w:cstheme="minorHAnsi"/>
          <w:shd w:val="clear" w:color="auto" w:fill="FFFFFF"/>
        </w:rPr>
        <w:t xml:space="preserve">827-7 </w:t>
      </w:r>
      <w:r w:rsidR="00304156" w:rsidRPr="00D86F9F">
        <w:rPr>
          <w:rFonts w:cstheme="minorHAnsi"/>
          <w:shd w:val="clear" w:color="auto" w:fill="FFFFFF"/>
        </w:rPr>
        <w:t>et L</w:t>
      </w:r>
      <w:r w:rsidR="00E75508">
        <w:rPr>
          <w:rFonts w:cstheme="minorHAnsi"/>
          <w:shd w:val="clear" w:color="auto" w:fill="FFFFFF"/>
        </w:rPr>
        <w:t xml:space="preserve"> </w:t>
      </w:r>
      <w:r w:rsidR="00304156" w:rsidRPr="00D86F9F">
        <w:rPr>
          <w:rFonts w:cstheme="minorHAnsi"/>
          <w:shd w:val="clear" w:color="auto" w:fill="FFFFFF"/>
        </w:rPr>
        <w:t xml:space="preserve">827-8 </w:t>
      </w:r>
      <w:r w:rsidR="009D69C4" w:rsidRPr="00D86F9F">
        <w:rPr>
          <w:rFonts w:cstheme="minorHAnsi"/>
          <w:shd w:val="clear" w:color="auto" w:fill="FFFFFF"/>
        </w:rPr>
        <w:t xml:space="preserve">du </w:t>
      </w:r>
      <w:r w:rsidR="00D86F9F">
        <w:rPr>
          <w:rFonts w:cstheme="minorHAnsi"/>
          <w:shd w:val="clear" w:color="auto" w:fill="FFFFFF"/>
        </w:rPr>
        <w:t>C</w:t>
      </w:r>
      <w:r w:rsidR="009D69C4" w:rsidRPr="00D86F9F">
        <w:rPr>
          <w:rFonts w:cstheme="minorHAnsi"/>
          <w:shd w:val="clear" w:color="auto" w:fill="FFFFFF"/>
        </w:rPr>
        <w:t xml:space="preserve">ode général de la </w:t>
      </w:r>
      <w:r w:rsidR="00D86F9F">
        <w:rPr>
          <w:rFonts w:cstheme="minorHAnsi"/>
          <w:shd w:val="clear" w:color="auto" w:fill="FFFFFF"/>
        </w:rPr>
        <w:t>F</w:t>
      </w:r>
      <w:r w:rsidR="009D69C4" w:rsidRPr="00D86F9F">
        <w:rPr>
          <w:rFonts w:cstheme="minorHAnsi"/>
          <w:shd w:val="clear" w:color="auto" w:fill="FFFFFF"/>
        </w:rPr>
        <w:t xml:space="preserve">onction </w:t>
      </w:r>
      <w:r w:rsidR="00D86F9F">
        <w:rPr>
          <w:rFonts w:cstheme="minorHAnsi"/>
          <w:shd w:val="clear" w:color="auto" w:fill="FFFFFF"/>
        </w:rPr>
        <w:t>P</w:t>
      </w:r>
      <w:r w:rsidR="009D69C4" w:rsidRPr="00D86F9F">
        <w:rPr>
          <w:rFonts w:cstheme="minorHAnsi"/>
          <w:shd w:val="clear" w:color="auto" w:fill="FFFFFF"/>
        </w:rPr>
        <w:t>ublique,</w:t>
      </w:r>
    </w:p>
    <w:p w14:paraId="0C988EE4" w14:textId="3364B337" w:rsidR="00D90220" w:rsidRPr="00D86F9F" w:rsidRDefault="00D90220" w:rsidP="00D86F9F">
      <w:pPr>
        <w:spacing w:after="120" w:line="240" w:lineRule="auto"/>
        <w:jc w:val="both"/>
        <w:rPr>
          <w:rStyle w:val="lev"/>
          <w:rFonts w:cstheme="minorHAnsi"/>
          <w:b w:val="0"/>
          <w:shd w:val="clear" w:color="auto" w:fill="FFFFFF"/>
        </w:rPr>
      </w:pPr>
      <w:r w:rsidRPr="00D86F9F">
        <w:rPr>
          <w:rStyle w:val="lev"/>
          <w:rFonts w:cstheme="minorHAnsi"/>
          <w:b w:val="0"/>
          <w:shd w:val="clear" w:color="auto" w:fill="FFFFFF"/>
        </w:rPr>
        <w:t>V</w:t>
      </w:r>
      <w:r w:rsidR="003D7B2D" w:rsidRPr="00D86F9F">
        <w:rPr>
          <w:rStyle w:val="lev"/>
          <w:rFonts w:cstheme="minorHAnsi"/>
          <w:b w:val="0"/>
          <w:shd w:val="clear" w:color="auto" w:fill="FFFFFF"/>
        </w:rPr>
        <w:t xml:space="preserve">u </w:t>
      </w:r>
      <w:r w:rsidR="009D69C4" w:rsidRPr="00D86F9F">
        <w:rPr>
          <w:rStyle w:val="lev"/>
          <w:rFonts w:cstheme="minorHAnsi"/>
          <w:b w:val="0"/>
          <w:shd w:val="clear" w:color="auto" w:fill="FFFFFF"/>
        </w:rPr>
        <w:t xml:space="preserve">les ordonnances du 17 février 2021 relatives à la protection sociale complémentaire dans la </w:t>
      </w:r>
      <w:r w:rsidR="00D86F9F">
        <w:rPr>
          <w:rStyle w:val="lev"/>
          <w:rFonts w:cstheme="minorHAnsi"/>
          <w:b w:val="0"/>
          <w:shd w:val="clear" w:color="auto" w:fill="FFFFFF"/>
        </w:rPr>
        <w:t>F</w:t>
      </w:r>
      <w:r w:rsidR="009D69C4" w:rsidRPr="00D86F9F">
        <w:rPr>
          <w:rStyle w:val="lev"/>
          <w:rFonts w:cstheme="minorHAnsi"/>
          <w:b w:val="0"/>
          <w:shd w:val="clear" w:color="auto" w:fill="FFFFFF"/>
        </w:rPr>
        <w:t xml:space="preserve">onction </w:t>
      </w:r>
      <w:r w:rsidR="00D86F9F">
        <w:rPr>
          <w:rStyle w:val="lev"/>
          <w:rFonts w:cstheme="minorHAnsi"/>
          <w:b w:val="0"/>
          <w:shd w:val="clear" w:color="auto" w:fill="FFFFFF"/>
        </w:rPr>
        <w:t>P</w:t>
      </w:r>
      <w:r w:rsidR="009D69C4" w:rsidRPr="00D86F9F">
        <w:rPr>
          <w:rStyle w:val="lev"/>
          <w:rFonts w:cstheme="minorHAnsi"/>
          <w:b w:val="0"/>
          <w:shd w:val="clear" w:color="auto" w:fill="FFFFFF"/>
        </w:rPr>
        <w:t>ublique,</w:t>
      </w:r>
    </w:p>
    <w:p w14:paraId="53AE80BE" w14:textId="393C04F8" w:rsidR="00D90220" w:rsidRPr="00D86F9F" w:rsidRDefault="00D90220" w:rsidP="00D86F9F">
      <w:pPr>
        <w:spacing w:after="120" w:line="240" w:lineRule="auto"/>
        <w:jc w:val="both"/>
        <w:rPr>
          <w:rStyle w:val="lev"/>
          <w:rFonts w:cstheme="minorHAnsi"/>
          <w:b w:val="0"/>
          <w:shd w:val="clear" w:color="auto" w:fill="FFFFFF"/>
        </w:rPr>
      </w:pPr>
      <w:r w:rsidRPr="00D86F9F">
        <w:rPr>
          <w:rStyle w:val="lev"/>
          <w:rFonts w:cstheme="minorHAnsi"/>
          <w:b w:val="0"/>
          <w:shd w:val="clear" w:color="auto" w:fill="FFFFFF"/>
        </w:rPr>
        <w:t xml:space="preserve">Vu </w:t>
      </w:r>
      <w:r w:rsidR="009D69C4" w:rsidRPr="00D86F9F">
        <w:rPr>
          <w:rStyle w:val="lev"/>
          <w:rFonts w:cstheme="minorHAnsi"/>
          <w:b w:val="0"/>
          <w:shd w:val="clear" w:color="auto" w:fill="FFFFFF"/>
        </w:rPr>
        <w:t>le décret n°</w:t>
      </w:r>
      <w:r w:rsidR="00D86F9F">
        <w:rPr>
          <w:rStyle w:val="lev"/>
          <w:rFonts w:cstheme="minorHAnsi"/>
          <w:b w:val="0"/>
          <w:shd w:val="clear" w:color="auto" w:fill="FFFFFF"/>
        </w:rPr>
        <w:t xml:space="preserve"> </w:t>
      </w:r>
      <w:r w:rsidR="009D69C4" w:rsidRPr="00D86F9F">
        <w:rPr>
          <w:rStyle w:val="lev"/>
          <w:rFonts w:cstheme="minorHAnsi"/>
          <w:b w:val="0"/>
          <w:shd w:val="clear" w:color="auto" w:fill="FFFFFF"/>
        </w:rPr>
        <w:t>2022-581 du 20 avril 2022 relatif à la participation obligatoire des collectivités territoriales et leurs établissements publics sur les garanties de protection sociale complémentaire,</w:t>
      </w:r>
    </w:p>
    <w:p w14:paraId="29F5388D" w14:textId="3B6F32A8" w:rsidR="006F67D0" w:rsidRDefault="006F67D0" w:rsidP="00D86F9F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Vu l’avis consultatif</w:t>
      </w:r>
      <w:r w:rsidR="007B5770"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favorable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du Comité social territorial du </w:t>
      </w:r>
      <w:r w:rsidR="007B5770"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17 septembre 2024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,</w:t>
      </w:r>
    </w:p>
    <w:p w14:paraId="2031B7FB" w14:textId="120FDB17" w:rsidR="00116CEB" w:rsidRDefault="00116CEB" w:rsidP="00116CEB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Vu 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la délibération n°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202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4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-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… 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du 2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4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septembre 202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4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du Conseil d’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a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dministration 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approuvant le choix de la commission d’appel d’offres sur l’attributaire du contrat collectif</w:t>
      </w:r>
      <w:r w:rsidR="00C0516A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,</w:t>
      </w:r>
    </w:p>
    <w:p w14:paraId="2004C456" w14:textId="4FF0DD7A" w:rsidR="00C0516A" w:rsidRPr="00C0516A" w:rsidRDefault="00C0516A" w:rsidP="00C0516A">
      <w:pPr>
        <w:pStyle w:val="Default"/>
        <w:spacing w:after="120"/>
        <w:jc w:val="both"/>
        <w:rPr>
          <w:rFonts w:cstheme="minorHAnsi"/>
          <w:bCs/>
          <w:sz w:val="22"/>
          <w:szCs w:val="22"/>
          <w:shd w:val="clear" w:color="auto" w:fill="FFFFFF"/>
        </w:rPr>
      </w:pPr>
      <w:r w:rsidRPr="00C0516A">
        <w:rPr>
          <w:rFonts w:cstheme="minorHAnsi"/>
          <w:bCs/>
          <w:sz w:val="22"/>
          <w:szCs w:val="22"/>
          <w:shd w:val="clear" w:color="auto" w:fill="FFFFFF"/>
        </w:rPr>
        <w:t xml:space="preserve">Vu la convention de participation « Prévoyance » signée entre le </w:t>
      </w:r>
      <w:r>
        <w:rPr>
          <w:rFonts w:cstheme="minorHAnsi"/>
          <w:bCs/>
          <w:sz w:val="22"/>
          <w:szCs w:val="22"/>
          <w:shd w:val="clear" w:color="auto" w:fill="FFFFFF"/>
        </w:rPr>
        <w:t>C</w:t>
      </w:r>
      <w:r w:rsidRPr="00C0516A">
        <w:rPr>
          <w:rFonts w:cstheme="minorHAnsi"/>
          <w:bCs/>
          <w:sz w:val="22"/>
          <w:szCs w:val="22"/>
          <w:shd w:val="clear" w:color="auto" w:fill="FFFFFF"/>
        </w:rPr>
        <w:t xml:space="preserve">entre de </w:t>
      </w:r>
      <w:r w:rsidR="00E2271B">
        <w:rPr>
          <w:rFonts w:cstheme="minorHAnsi"/>
          <w:bCs/>
          <w:sz w:val="22"/>
          <w:szCs w:val="22"/>
          <w:shd w:val="clear" w:color="auto" w:fill="FFFFFF"/>
        </w:rPr>
        <w:t>G</w:t>
      </w:r>
      <w:r w:rsidRPr="00C0516A">
        <w:rPr>
          <w:rFonts w:cstheme="minorHAnsi"/>
          <w:bCs/>
          <w:sz w:val="22"/>
          <w:szCs w:val="22"/>
          <w:shd w:val="clear" w:color="auto" w:fill="FFFFFF"/>
        </w:rPr>
        <w:t>estion et le groupement ALTERNATIVE COURTAGE/TERRITORIA MUTUELLE</w:t>
      </w:r>
      <w:r>
        <w:rPr>
          <w:rFonts w:cstheme="minorHAnsi"/>
          <w:bCs/>
          <w:sz w:val="22"/>
          <w:szCs w:val="22"/>
          <w:shd w:val="clear" w:color="auto" w:fill="FFFFFF"/>
        </w:rPr>
        <w:t>,</w:t>
      </w:r>
    </w:p>
    <w:p w14:paraId="20000627" w14:textId="175C7FCB" w:rsidR="00C0516A" w:rsidRPr="00D86F9F" w:rsidRDefault="00C0516A" w:rsidP="00116CEB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Vu </w:t>
      </w:r>
      <w:r w:rsidRPr="00D86F9F"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l’avis consultatif favorable du Comité social territorial du</w:t>
      </w:r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 xml:space="preserve"> …………</w:t>
      </w:r>
      <w:proofErr w:type="gramStart"/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…….</w:t>
      </w:r>
      <w:proofErr w:type="gramEnd"/>
      <w:r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  <w:t>,</w:t>
      </w:r>
    </w:p>
    <w:p w14:paraId="6DEF2407" w14:textId="2E6BCFDB" w:rsidR="00116CEB" w:rsidRPr="00D86F9F" w:rsidRDefault="00116CEB" w:rsidP="00D86F9F">
      <w:pPr>
        <w:pStyle w:val="Default"/>
        <w:spacing w:after="120"/>
        <w:jc w:val="both"/>
        <w:rPr>
          <w:rStyle w:val="lev"/>
          <w:rFonts w:asciiTheme="minorHAnsi" w:hAnsiTheme="minorHAnsi" w:cstheme="minorHAnsi"/>
          <w:b w:val="0"/>
          <w:sz w:val="22"/>
          <w:szCs w:val="22"/>
          <w:shd w:val="clear" w:color="auto" w:fill="FFFFFF"/>
        </w:rPr>
      </w:pPr>
    </w:p>
    <w:p w14:paraId="02F0E894" w14:textId="77777777" w:rsidR="00562DD7" w:rsidRDefault="00562DD7" w:rsidP="0065521A">
      <w:pPr>
        <w:spacing w:after="0" w:line="240" w:lineRule="auto"/>
        <w:jc w:val="both"/>
        <w:rPr>
          <w:rFonts w:cstheme="minorHAnsi"/>
        </w:rPr>
      </w:pPr>
    </w:p>
    <w:p w14:paraId="2BA9C495" w14:textId="446572C6" w:rsidR="0035602D" w:rsidRDefault="00C0516A" w:rsidP="006552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 conformité avec</w:t>
      </w:r>
      <w:r w:rsidR="0035602D" w:rsidRPr="00D86F9F">
        <w:rPr>
          <w:rFonts w:cstheme="minorHAnsi"/>
        </w:rPr>
        <w:t xml:space="preserve"> l’article L</w:t>
      </w:r>
      <w:r w:rsidR="00E75508">
        <w:rPr>
          <w:rFonts w:cstheme="minorHAnsi"/>
        </w:rPr>
        <w:t xml:space="preserve"> </w:t>
      </w:r>
      <w:r w:rsidR="0035602D" w:rsidRPr="00D86F9F">
        <w:rPr>
          <w:rFonts w:cstheme="minorHAnsi"/>
        </w:rPr>
        <w:t xml:space="preserve">827-7 du Code général de la </w:t>
      </w:r>
      <w:r w:rsidR="0035602D">
        <w:rPr>
          <w:rFonts w:cstheme="minorHAnsi"/>
        </w:rPr>
        <w:t>F</w:t>
      </w:r>
      <w:r w:rsidR="0035602D" w:rsidRPr="00D86F9F">
        <w:rPr>
          <w:rFonts w:cstheme="minorHAnsi"/>
        </w:rPr>
        <w:t xml:space="preserve">onction </w:t>
      </w:r>
      <w:r w:rsidR="0035602D">
        <w:rPr>
          <w:rFonts w:cstheme="minorHAnsi"/>
        </w:rPr>
        <w:t>P</w:t>
      </w:r>
      <w:r w:rsidR="0035602D" w:rsidRPr="00D86F9F">
        <w:rPr>
          <w:rFonts w:cstheme="minorHAnsi"/>
        </w:rPr>
        <w:t>ublique fix</w:t>
      </w:r>
      <w:r>
        <w:rPr>
          <w:rFonts w:cstheme="minorHAnsi"/>
        </w:rPr>
        <w:t>a</w:t>
      </w:r>
      <w:r w:rsidR="0035602D">
        <w:rPr>
          <w:rFonts w:cstheme="minorHAnsi"/>
        </w:rPr>
        <w:t>nt</w:t>
      </w:r>
      <w:r w:rsidR="0035602D" w:rsidRPr="00D86F9F">
        <w:rPr>
          <w:rFonts w:cstheme="minorHAnsi"/>
        </w:rPr>
        <w:t xml:space="preserve"> l’obligation pour les Centres de Gestion de conclure des conventions de participation dans le domaine de la protection sociale complémentaire</w:t>
      </w:r>
      <w:r>
        <w:rPr>
          <w:rFonts w:cstheme="minorHAnsi"/>
        </w:rPr>
        <w:t>, le Centre de Gestion a souscrit une convention de participation</w:t>
      </w:r>
      <w:r w:rsidR="00E2271B">
        <w:rPr>
          <w:rFonts w:cstheme="minorHAnsi"/>
        </w:rPr>
        <w:t xml:space="preserve"> pour les collectivités et établissements</w:t>
      </w:r>
      <w:r>
        <w:rPr>
          <w:rFonts w:cstheme="minorHAnsi"/>
        </w:rPr>
        <w:t xml:space="preserve"> </w:t>
      </w:r>
      <w:r w:rsidR="00E2271B">
        <w:rPr>
          <w:rFonts w:cstheme="minorHAnsi"/>
        </w:rPr>
        <w:t>publics de son ressort et pour lui-même</w:t>
      </w:r>
      <w:r w:rsidR="0035602D">
        <w:rPr>
          <w:rFonts w:cstheme="minorHAnsi"/>
        </w:rPr>
        <w:t>.</w:t>
      </w:r>
    </w:p>
    <w:p w14:paraId="078EA2B4" w14:textId="77777777" w:rsidR="00E2271B" w:rsidRDefault="00E2271B" w:rsidP="0065521A">
      <w:pPr>
        <w:spacing w:after="0" w:line="240" w:lineRule="auto"/>
        <w:jc w:val="both"/>
        <w:rPr>
          <w:rFonts w:cstheme="minorHAnsi"/>
        </w:rPr>
      </w:pPr>
    </w:p>
    <w:p w14:paraId="5A5C148F" w14:textId="4C58D921" w:rsidR="00E2271B" w:rsidRPr="00E2271B" w:rsidRDefault="00E2271B" w:rsidP="0065521A">
      <w:pPr>
        <w:spacing w:after="0" w:line="240" w:lineRule="auto"/>
        <w:jc w:val="both"/>
        <w:rPr>
          <w:rFonts w:cstheme="minorHAnsi"/>
        </w:rPr>
      </w:pPr>
      <w:r w:rsidRPr="00E2271B">
        <w:rPr>
          <w:rFonts w:cstheme="minorHAnsi"/>
        </w:rPr>
        <w:t>Les collectivités et établissements publics peuvent désormais se rattacher à cette convention de participation sur délibération de leur assemblée délibérante, après consultation de leur Comité Social Territorial.</w:t>
      </w:r>
    </w:p>
    <w:p w14:paraId="0F1C50EA" w14:textId="77777777" w:rsidR="00E2271B" w:rsidRDefault="00E2271B" w:rsidP="0065521A">
      <w:pPr>
        <w:spacing w:after="0" w:line="240" w:lineRule="auto"/>
        <w:jc w:val="both"/>
        <w:rPr>
          <w:rFonts w:cstheme="minorHAnsi"/>
        </w:rPr>
      </w:pPr>
    </w:p>
    <w:p w14:paraId="28E435E7" w14:textId="2F8B908C" w:rsidR="0065521A" w:rsidRDefault="00E2271B" w:rsidP="006552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Au titre de la politique sociale engagée au sein de sa structure, le Centre de Gestion souhaite faire bénéficier ses agents des modalités de cette convention</w:t>
      </w:r>
      <w:r w:rsidR="00A536DB">
        <w:rPr>
          <w:rFonts w:cstheme="minorHAnsi"/>
        </w:rPr>
        <w:t xml:space="preserve"> dès le 1</w:t>
      </w:r>
      <w:r w:rsidR="00A536DB" w:rsidRPr="00A536DB">
        <w:rPr>
          <w:rFonts w:cstheme="minorHAnsi"/>
          <w:vertAlign w:val="superscript"/>
        </w:rPr>
        <w:t>er</w:t>
      </w:r>
      <w:r w:rsidR="00A536DB">
        <w:rPr>
          <w:rFonts w:cstheme="minorHAnsi"/>
        </w:rPr>
        <w:t xml:space="preserve"> janvier 2025</w:t>
      </w:r>
      <w:r>
        <w:rPr>
          <w:rFonts w:cstheme="minorHAnsi"/>
        </w:rPr>
        <w:t xml:space="preserve">. </w:t>
      </w:r>
      <w:r w:rsidR="0065521A">
        <w:rPr>
          <w:rFonts w:cstheme="minorHAnsi"/>
        </w:rPr>
        <w:t xml:space="preserve">La garantie prévoyance n’étant pas obligatoire, il revient à chaque agent d’y adhérer volontairement. </w:t>
      </w:r>
    </w:p>
    <w:p w14:paraId="7C9B3C50" w14:textId="77777777" w:rsidR="0065521A" w:rsidRDefault="0065521A" w:rsidP="0065521A">
      <w:pPr>
        <w:spacing w:after="0" w:line="240" w:lineRule="auto"/>
        <w:jc w:val="both"/>
        <w:rPr>
          <w:rFonts w:cstheme="minorHAnsi"/>
        </w:rPr>
      </w:pPr>
    </w:p>
    <w:p w14:paraId="26E67849" w14:textId="10F82B29" w:rsidR="0065521A" w:rsidRPr="0065521A" w:rsidRDefault="0065521A" w:rsidP="0065521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Pr="0065521A">
        <w:rPr>
          <w:rFonts w:cstheme="minorHAnsi"/>
        </w:rPr>
        <w:t>a participation financière</w:t>
      </w:r>
      <w:r>
        <w:rPr>
          <w:rFonts w:cstheme="minorHAnsi"/>
        </w:rPr>
        <w:t xml:space="preserve"> de l’employeur</w:t>
      </w:r>
      <w:r w:rsidRPr="0065521A">
        <w:rPr>
          <w:rFonts w:cstheme="minorHAnsi"/>
        </w:rPr>
        <w:t xml:space="preserve"> est attachée à cette convention de participation</w:t>
      </w:r>
      <w:r>
        <w:rPr>
          <w:rFonts w:cstheme="minorHAnsi"/>
        </w:rPr>
        <w:t>.</w:t>
      </w:r>
      <w:r w:rsidRPr="0065521A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65521A">
        <w:rPr>
          <w:rFonts w:cstheme="minorHAnsi"/>
        </w:rPr>
        <w:t>es agents qui n’y souscriront pas ne pourront pas percevoir cette participation ou ne pourront plus continuer à la percevoir en cas de contrats individuels souscrits auprès de prestataires labellisés.</w:t>
      </w:r>
    </w:p>
    <w:p w14:paraId="01A92D41" w14:textId="1B9C84C9" w:rsidR="00554FF1" w:rsidRDefault="0065521A" w:rsidP="0065521A">
      <w:pPr>
        <w:spacing w:after="120" w:line="240" w:lineRule="auto"/>
        <w:jc w:val="both"/>
        <w:rPr>
          <w:rFonts w:cstheme="minorHAnsi"/>
          <w:snapToGrid w:val="0"/>
        </w:rPr>
      </w:pPr>
      <w:r>
        <w:rPr>
          <w:rFonts w:cstheme="minorHAnsi"/>
        </w:rPr>
        <w:t xml:space="preserve"> </w:t>
      </w:r>
    </w:p>
    <w:p w14:paraId="647762C2" w14:textId="77777777" w:rsidR="0065521A" w:rsidRDefault="0065521A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639823DE" w14:textId="77777777" w:rsidR="00562DD7" w:rsidRDefault="00562DD7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783104F4" w14:textId="77777777" w:rsidR="00562DD7" w:rsidRDefault="00562DD7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6101AF98" w14:textId="77777777" w:rsidR="00562DD7" w:rsidRDefault="00562DD7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5AE9841D" w14:textId="77777777" w:rsidR="0065521A" w:rsidRDefault="0065521A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4572B5EE" w14:textId="77777777" w:rsidR="0065521A" w:rsidRDefault="0065521A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6CF03C41" w14:textId="1B8B3CEE" w:rsidR="0065521A" w:rsidRDefault="0065521A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Actuellement, cette participation financière est de 15 € mensuels par agent éligible.</w:t>
      </w:r>
      <w:r w:rsidR="00A536DB">
        <w:rPr>
          <w:rFonts w:cstheme="minorHAnsi"/>
          <w:snapToGrid w:val="0"/>
        </w:rPr>
        <w:t xml:space="preserve"> A compter du 1</w:t>
      </w:r>
      <w:r w:rsidR="00A536DB" w:rsidRPr="00A536DB">
        <w:rPr>
          <w:rFonts w:cstheme="minorHAnsi"/>
          <w:snapToGrid w:val="0"/>
          <w:vertAlign w:val="superscript"/>
        </w:rPr>
        <w:t>er</w:t>
      </w:r>
      <w:r w:rsidR="00A536DB">
        <w:rPr>
          <w:rFonts w:cstheme="minorHAnsi"/>
          <w:snapToGrid w:val="0"/>
        </w:rPr>
        <w:t xml:space="preserve"> janvier 2025</w:t>
      </w:r>
      <w:r w:rsidR="00060273">
        <w:rPr>
          <w:rFonts w:cstheme="minorHAnsi"/>
          <w:snapToGrid w:val="0"/>
        </w:rPr>
        <w:t>, le montant forfaitaire de cette participation sera de ….  €</w:t>
      </w:r>
      <w:r w:rsidR="00C96B6A">
        <w:rPr>
          <w:rFonts w:cstheme="minorHAnsi"/>
          <w:snapToGrid w:val="0"/>
        </w:rPr>
        <w:t>.</w:t>
      </w:r>
    </w:p>
    <w:p w14:paraId="0D193823" w14:textId="77777777" w:rsidR="00C96B6A" w:rsidRDefault="00C96B6A" w:rsidP="002A2D46">
      <w:pPr>
        <w:spacing w:after="120"/>
        <w:jc w:val="both"/>
      </w:pPr>
    </w:p>
    <w:p w14:paraId="47BEB8C4" w14:textId="2D03FD4D" w:rsidR="002A2D46" w:rsidRDefault="002A2D46" w:rsidP="002A2D46">
      <w:pPr>
        <w:spacing w:after="120"/>
        <w:jc w:val="both"/>
      </w:pPr>
      <w:r>
        <w:t>Il appartient au Conseil d’administration de se prononcer.</w:t>
      </w:r>
    </w:p>
    <w:p w14:paraId="7D1A6E4B" w14:textId="77777777" w:rsidR="002A2D46" w:rsidRPr="00D86F9F" w:rsidRDefault="002A2D46" w:rsidP="002A2D46">
      <w:pPr>
        <w:widowControl w:val="0"/>
        <w:spacing w:after="120" w:line="240" w:lineRule="auto"/>
        <w:jc w:val="both"/>
        <w:rPr>
          <w:rFonts w:cstheme="minorHAnsi"/>
          <w:snapToGrid w:val="0"/>
        </w:rPr>
      </w:pPr>
    </w:p>
    <w:p w14:paraId="5CA580DD" w14:textId="6253B03A" w:rsidR="002A2D46" w:rsidRDefault="002A2D46" w:rsidP="002A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-285"/>
        <w:jc w:val="both"/>
        <w:rPr>
          <w:rFonts w:cstheme="minorHAnsi"/>
          <w:b/>
          <w:sz w:val="26"/>
          <w:szCs w:val="26"/>
        </w:rPr>
      </w:pPr>
      <w:r w:rsidRPr="00D86F9F">
        <w:rPr>
          <w:rFonts w:cstheme="minorHAnsi"/>
          <w:b/>
          <w:sz w:val="26"/>
          <w:szCs w:val="26"/>
        </w:rPr>
        <w:t>Le Conseil d’administration est invité à :</w:t>
      </w:r>
    </w:p>
    <w:p w14:paraId="1071CA5B" w14:textId="513240E6" w:rsidR="00554FF1" w:rsidRDefault="003B2629" w:rsidP="002A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-285"/>
        <w:jc w:val="both"/>
        <w:rPr>
          <w:rFonts w:cstheme="minorHAnsi"/>
          <w:b/>
          <w:sz w:val="26"/>
          <w:szCs w:val="26"/>
        </w:rPr>
      </w:pPr>
      <w:r w:rsidRPr="00D86F9F">
        <w:rPr>
          <w:rFonts w:cstheme="minorHAnsi"/>
          <w:b/>
          <w:sz w:val="26"/>
          <w:szCs w:val="26"/>
        </w:rPr>
        <w:t xml:space="preserve">- </w:t>
      </w:r>
      <w:r w:rsidR="00C96B6A">
        <w:rPr>
          <w:rFonts w:cstheme="minorHAnsi"/>
          <w:b/>
          <w:sz w:val="26"/>
          <w:szCs w:val="26"/>
        </w:rPr>
        <w:t xml:space="preserve"> </w:t>
      </w:r>
      <w:r w:rsidR="00E2271B">
        <w:rPr>
          <w:rFonts w:cstheme="minorHAnsi"/>
          <w:b/>
          <w:sz w:val="26"/>
          <w:szCs w:val="26"/>
        </w:rPr>
        <w:t>valider le principe d’une adhésion à la convention pour ses propres agents</w:t>
      </w:r>
      <w:r w:rsidR="00D61328">
        <w:rPr>
          <w:rFonts w:cstheme="minorHAnsi"/>
          <w:b/>
          <w:sz w:val="26"/>
          <w:szCs w:val="26"/>
        </w:rPr>
        <w:t> ;</w:t>
      </w:r>
    </w:p>
    <w:p w14:paraId="4F44421E" w14:textId="6F8C763C" w:rsidR="00C96B6A" w:rsidRPr="00D86F9F" w:rsidRDefault="00060273" w:rsidP="002A2D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-285"/>
        <w:jc w:val="both"/>
        <w:rPr>
          <w:rFonts w:cstheme="minorHAnsi"/>
          <w:b/>
          <w:sz w:val="26"/>
          <w:szCs w:val="26"/>
        </w:rPr>
      </w:pPr>
      <w:r w:rsidRPr="00C96B6A">
        <w:rPr>
          <w:rFonts w:cstheme="minorHAnsi"/>
          <w:b/>
          <w:bCs/>
          <w:color w:val="000000" w:themeColor="text1"/>
        </w:rPr>
        <w:t xml:space="preserve"> </w:t>
      </w:r>
      <w:r w:rsidR="00C96B6A">
        <w:rPr>
          <w:rFonts w:cstheme="minorHAnsi"/>
          <w:b/>
          <w:sz w:val="26"/>
          <w:szCs w:val="26"/>
        </w:rPr>
        <w:t xml:space="preserve">- prévoir l’inscription </w:t>
      </w:r>
      <w:r w:rsidR="00562DD7">
        <w:rPr>
          <w:rFonts w:cstheme="minorHAnsi"/>
          <w:b/>
          <w:sz w:val="26"/>
          <w:szCs w:val="26"/>
        </w:rPr>
        <w:t xml:space="preserve">sur chaque </w:t>
      </w:r>
      <w:r w:rsidR="00C96B6A">
        <w:rPr>
          <w:rFonts w:cstheme="minorHAnsi"/>
          <w:b/>
          <w:sz w:val="26"/>
          <w:szCs w:val="26"/>
        </w:rPr>
        <w:t xml:space="preserve">budget </w:t>
      </w:r>
      <w:r w:rsidR="00562DD7">
        <w:rPr>
          <w:rFonts w:cstheme="minorHAnsi"/>
          <w:b/>
          <w:sz w:val="26"/>
          <w:szCs w:val="26"/>
        </w:rPr>
        <w:t xml:space="preserve">des exercices 2025 à 2030, soit </w:t>
      </w:r>
      <w:proofErr w:type="spellStart"/>
      <w:r w:rsidR="00562DD7">
        <w:rPr>
          <w:rFonts w:cstheme="minorHAnsi"/>
          <w:b/>
          <w:sz w:val="26"/>
          <w:szCs w:val="26"/>
        </w:rPr>
        <w:t>la</w:t>
      </w:r>
      <w:proofErr w:type="spellEnd"/>
      <w:r w:rsidR="00562DD7">
        <w:rPr>
          <w:rFonts w:cstheme="minorHAnsi"/>
          <w:b/>
          <w:sz w:val="26"/>
          <w:szCs w:val="26"/>
        </w:rPr>
        <w:t xml:space="preserve"> durée de la convention,</w:t>
      </w:r>
      <w:r w:rsidR="00C96B6A">
        <w:rPr>
          <w:rFonts w:cstheme="minorHAnsi"/>
          <w:b/>
          <w:sz w:val="26"/>
          <w:szCs w:val="26"/>
        </w:rPr>
        <w:t xml:space="preserve"> </w:t>
      </w:r>
      <w:r w:rsidR="00562DD7">
        <w:rPr>
          <w:rFonts w:cstheme="minorHAnsi"/>
          <w:b/>
          <w:sz w:val="26"/>
          <w:szCs w:val="26"/>
        </w:rPr>
        <w:t>d</w:t>
      </w:r>
      <w:r w:rsidR="00C96B6A">
        <w:rPr>
          <w:rFonts w:cstheme="minorHAnsi"/>
          <w:b/>
          <w:sz w:val="26"/>
          <w:szCs w:val="26"/>
        </w:rPr>
        <w:t>es crédits nécessaires à la mise en œuvre de la présente délibération ;</w:t>
      </w:r>
    </w:p>
    <w:p w14:paraId="60D868E5" w14:textId="7828D700" w:rsidR="00922062" w:rsidRPr="00C96B6A" w:rsidRDefault="00554FF1" w:rsidP="00D61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ind w:right="-285"/>
        <w:jc w:val="both"/>
        <w:rPr>
          <w:rFonts w:cstheme="minorHAnsi"/>
          <w:b/>
          <w:sz w:val="28"/>
          <w:szCs w:val="28"/>
        </w:rPr>
      </w:pPr>
      <w:r w:rsidRPr="00D86F9F">
        <w:rPr>
          <w:rFonts w:cstheme="minorHAnsi"/>
          <w:b/>
          <w:sz w:val="26"/>
          <w:szCs w:val="26"/>
        </w:rPr>
        <w:t xml:space="preserve">- </w:t>
      </w:r>
      <w:r w:rsidR="00C96B6A" w:rsidRPr="00C96B6A">
        <w:rPr>
          <w:rFonts w:cstheme="minorHAnsi"/>
          <w:b/>
          <w:sz w:val="26"/>
          <w:szCs w:val="26"/>
        </w:rPr>
        <w:t>a</w:t>
      </w:r>
      <w:r w:rsidR="00C96B6A" w:rsidRPr="00C96B6A">
        <w:rPr>
          <w:rFonts w:eastAsia="Times New Roman" w:cstheme="minorHAnsi"/>
          <w:b/>
          <w:sz w:val="26"/>
          <w:szCs w:val="26"/>
        </w:rPr>
        <w:t xml:space="preserve">utoriser le Président, ou son représentant, à signer tous les documents utiles à l’exécution de la présente délibération et notamment tout document rendu nécessaire, avec </w:t>
      </w:r>
      <w:r w:rsidR="00C96B6A">
        <w:rPr>
          <w:rFonts w:eastAsia="Times New Roman" w:cstheme="minorHAnsi"/>
          <w:b/>
          <w:sz w:val="26"/>
          <w:szCs w:val="26"/>
        </w:rPr>
        <w:t xml:space="preserve">Alternative Courtage et </w:t>
      </w:r>
      <w:proofErr w:type="spellStart"/>
      <w:r w:rsidR="00C96B6A">
        <w:rPr>
          <w:rFonts w:eastAsia="Times New Roman" w:cstheme="minorHAnsi"/>
          <w:b/>
          <w:sz w:val="26"/>
          <w:szCs w:val="26"/>
        </w:rPr>
        <w:t>Territoria</w:t>
      </w:r>
      <w:proofErr w:type="spellEnd"/>
      <w:r w:rsidR="00C96B6A">
        <w:rPr>
          <w:rFonts w:eastAsia="Times New Roman" w:cstheme="minorHAnsi"/>
          <w:b/>
          <w:sz w:val="26"/>
          <w:szCs w:val="26"/>
        </w:rPr>
        <w:t xml:space="preserve"> Mutuelle</w:t>
      </w:r>
      <w:r w:rsidR="00D61328" w:rsidRPr="00C96B6A">
        <w:rPr>
          <w:rFonts w:cstheme="minorHAnsi"/>
          <w:b/>
          <w:sz w:val="28"/>
          <w:szCs w:val="28"/>
        </w:rPr>
        <w:t>.</w:t>
      </w:r>
    </w:p>
    <w:sectPr w:rsidR="00922062" w:rsidRPr="00C96B6A" w:rsidSect="00D83EE3">
      <w:headerReference w:type="default" r:id="rId7"/>
      <w:footerReference w:type="default" r:id="rId8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DC42B" w14:textId="77777777" w:rsidR="009153F4" w:rsidRDefault="009153F4" w:rsidP="00B85E0D">
      <w:pPr>
        <w:spacing w:after="0" w:line="240" w:lineRule="auto"/>
      </w:pPr>
      <w:r>
        <w:separator/>
      </w:r>
    </w:p>
  </w:endnote>
  <w:endnote w:type="continuationSeparator" w:id="0">
    <w:p w14:paraId="136950A9" w14:textId="77777777" w:rsidR="009153F4" w:rsidRDefault="009153F4" w:rsidP="00B85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05877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40D711A" w14:textId="7D90582F" w:rsidR="00D83EE3" w:rsidRPr="00D83EE3" w:rsidRDefault="00D83EE3">
        <w:pPr>
          <w:pStyle w:val="Pieddepage"/>
          <w:jc w:val="right"/>
          <w:rPr>
            <w:sz w:val="18"/>
            <w:szCs w:val="18"/>
          </w:rPr>
        </w:pPr>
        <w:r w:rsidRPr="00D83EE3">
          <w:rPr>
            <w:sz w:val="18"/>
            <w:szCs w:val="18"/>
          </w:rPr>
          <w:fldChar w:fldCharType="begin"/>
        </w:r>
        <w:r w:rsidRPr="00D83EE3">
          <w:rPr>
            <w:sz w:val="18"/>
            <w:szCs w:val="18"/>
          </w:rPr>
          <w:instrText>PAGE   \* MERGEFORMAT</w:instrText>
        </w:r>
        <w:r w:rsidRPr="00D83EE3">
          <w:rPr>
            <w:sz w:val="18"/>
            <w:szCs w:val="18"/>
          </w:rPr>
          <w:fldChar w:fldCharType="separate"/>
        </w:r>
        <w:r w:rsidRPr="00D83EE3">
          <w:rPr>
            <w:sz w:val="18"/>
            <w:szCs w:val="18"/>
          </w:rPr>
          <w:t>2</w:t>
        </w:r>
        <w:r w:rsidRPr="00D83EE3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B766B" w14:textId="77777777" w:rsidR="009153F4" w:rsidRDefault="009153F4" w:rsidP="00B85E0D">
      <w:pPr>
        <w:spacing w:after="0" w:line="240" w:lineRule="auto"/>
      </w:pPr>
      <w:r>
        <w:separator/>
      </w:r>
    </w:p>
  </w:footnote>
  <w:footnote w:type="continuationSeparator" w:id="0">
    <w:p w14:paraId="73221C12" w14:textId="77777777" w:rsidR="009153F4" w:rsidRDefault="009153F4" w:rsidP="00B85E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9CAC3" w14:textId="20CF2FC8" w:rsidR="00B85E0D" w:rsidRDefault="00B85E0D" w:rsidP="00B85E0D">
    <w:pPr>
      <w:pStyle w:val="En-tte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Conseil d’administration du </w:t>
    </w:r>
    <w:r w:rsidR="00116CEB">
      <w:rPr>
        <w:i/>
        <w:sz w:val="18"/>
        <w:szCs w:val="18"/>
      </w:rPr>
      <w:t>15 octobre</w:t>
    </w:r>
    <w:r w:rsidR="00D61328">
      <w:rPr>
        <w:i/>
        <w:sz w:val="18"/>
        <w:szCs w:val="18"/>
      </w:rPr>
      <w:t xml:space="preserve"> 2024 </w:t>
    </w:r>
  </w:p>
  <w:p w14:paraId="4F4485D6" w14:textId="492C53D1" w:rsidR="00B85E0D" w:rsidRPr="008855EB" w:rsidRDefault="00B85E0D" w:rsidP="00B85E0D">
    <w:pPr>
      <w:pStyle w:val="En-tte"/>
      <w:jc w:val="right"/>
      <w:rPr>
        <w:i/>
        <w:sz w:val="20"/>
        <w:szCs w:val="20"/>
      </w:rPr>
    </w:pPr>
    <w:r>
      <w:rPr>
        <w:i/>
        <w:sz w:val="18"/>
        <w:szCs w:val="18"/>
      </w:rPr>
      <w:t>Rapport n°</w:t>
    </w:r>
    <w:r w:rsidR="00BB5311">
      <w:rPr>
        <w:i/>
        <w:sz w:val="18"/>
        <w:szCs w:val="18"/>
      </w:rPr>
      <w:t xml:space="preserve"> </w:t>
    </w:r>
    <w:r w:rsidR="00C0516A">
      <w:rPr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F7832C8"/>
    <w:multiLevelType w:val="hybridMultilevel"/>
    <w:tmpl w:val="3FD0703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34710B"/>
    <w:multiLevelType w:val="hybridMultilevel"/>
    <w:tmpl w:val="D14CDCB6"/>
    <w:lvl w:ilvl="0" w:tplc="22B4C9B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B3982"/>
    <w:multiLevelType w:val="hybridMultilevel"/>
    <w:tmpl w:val="DDA802CC"/>
    <w:lvl w:ilvl="0" w:tplc="040C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CF761B1"/>
    <w:multiLevelType w:val="hybridMultilevel"/>
    <w:tmpl w:val="2E40DD0A"/>
    <w:lvl w:ilvl="0" w:tplc="79E00628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461065"/>
    <w:multiLevelType w:val="multilevel"/>
    <w:tmpl w:val="594294CA"/>
    <w:lvl w:ilvl="0">
      <w:start w:val="1"/>
      <w:numFmt w:val="bullet"/>
      <w:lvlText w:val=""/>
      <w:lvlJc w:val="left"/>
      <w:pPr>
        <w:tabs>
          <w:tab w:val="num" w:pos="283"/>
        </w:tabs>
        <w:ind w:left="283" w:firstLine="0"/>
      </w:pPr>
      <w:rPr>
        <w:rFonts w:ascii="Wingdings" w:hAnsi="Wingdings"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position w:val="0"/>
      </w:rPr>
    </w:lvl>
  </w:abstractNum>
  <w:num w:numId="1" w16cid:durableId="1923828698">
    <w:abstractNumId w:val="2"/>
  </w:num>
  <w:num w:numId="2" w16cid:durableId="471680628">
    <w:abstractNumId w:val="4"/>
  </w:num>
  <w:num w:numId="3" w16cid:durableId="671372499">
    <w:abstractNumId w:val="0"/>
  </w:num>
  <w:num w:numId="4" w16cid:durableId="289216214">
    <w:abstractNumId w:val="3"/>
  </w:num>
  <w:num w:numId="5" w16cid:durableId="77621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0D"/>
    <w:rsid w:val="000052F8"/>
    <w:rsid w:val="000170D0"/>
    <w:rsid w:val="00051525"/>
    <w:rsid w:val="00060273"/>
    <w:rsid w:val="00060DAF"/>
    <w:rsid w:val="00075687"/>
    <w:rsid w:val="000865F7"/>
    <w:rsid w:val="000B028D"/>
    <w:rsid w:val="000F4982"/>
    <w:rsid w:val="00105DF4"/>
    <w:rsid w:val="001063E4"/>
    <w:rsid w:val="00110AD4"/>
    <w:rsid w:val="00112AA1"/>
    <w:rsid w:val="00116CEB"/>
    <w:rsid w:val="001346D2"/>
    <w:rsid w:val="001417C3"/>
    <w:rsid w:val="001807D9"/>
    <w:rsid w:val="001847C5"/>
    <w:rsid w:val="001A2885"/>
    <w:rsid w:val="00213CB6"/>
    <w:rsid w:val="00222E63"/>
    <w:rsid w:val="00226747"/>
    <w:rsid w:val="002A2D46"/>
    <w:rsid w:val="002B732F"/>
    <w:rsid w:val="002F5B0E"/>
    <w:rsid w:val="00304156"/>
    <w:rsid w:val="003203E7"/>
    <w:rsid w:val="00342BCE"/>
    <w:rsid w:val="0035602D"/>
    <w:rsid w:val="00356DE3"/>
    <w:rsid w:val="003B2629"/>
    <w:rsid w:val="003C6451"/>
    <w:rsid w:val="003D7B2D"/>
    <w:rsid w:val="00434645"/>
    <w:rsid w:val="00455EF5"/>
    <w:rsid w:val="00470E37"/>
    <w:rsid w:val="00472461"/>
    <w:rsid w:val="00491D72"/>
    <w:rsid w:val="00496CA6"/>
    <w:rsid w:val="004A28AA"/>
    <w:rsid w:val="004D43E4"/>
    <w:rsid w:val="00531B34"/>
    <w:rsid w:val="0054273E"/>
    <w:rsid w:val="00545601"/>
    <w:rsid w:val="00554FF1"/>
    <w:rsid w:val="00562DD7"/>
    <w:rsid w:val="005B64C3"/>
    <w:rsid w:val="005C3A8A"/>
    <w:rsid w:val="005D07AD"/>
    <w:rsid w:val="005F210D"/>
    <w:rsid w:val="00631F7C"/>
    <w:rsid w:val="0065521A"/>
    <w:rsid w:val="006956BB"/>
    <w:rsid w:val="006C6D2D"/>
    <w:rsid w:val="006F67D0"/>
    <w:rsid w:val="007952E5"/>
    <w:rsid w:val="00796C61"/>
    <w:rsid w:val="007A36D0"/>
    <w:rsid w:val="007B5770"/>
    <w:rsid w:val="007C5F52"/>
    <w:rsid w:val="007D0C0D"/>
    <w:rsid w:val="007D2F54"/>
    <w:rsid w:val="007D4249"/>
    <w:rsid w:val="007F12F8"/>
    <w:rsid w:val="0081070E"/>
    <w:rsid w:val="00825185"/>
    <w:rsid w:val="008420D4"/>
    <w:rsid w:val="00862606"/>
    <w:rsid w:val="00877E86"/>
    <w:rsid w:val="00881045"/>
    <w:rsid w:val="008855EB"/>
    <w:rsid w:val="009153F4"/>
    <w:rsid w:val="00922062"/>
    <w:rsid w:val="00955CD2"/>
    <w:rsid w:val="00955DA0"/>
    <w:rsid w:val="0096561C"/>
    <w:rsid w:val="00976647"/>
    <w:rsid w:val="009B4AD7"/>
    <w:rsid w:val="009C6100"/>
    <w:rsid w:val="009D69C4"/>
    <w:rsid w:val="00A323F2"/>
    <w:rsid w:val="00A3693B"/>
    <w:rsid w:val="00A517DA"/>
    <w:rsid w:val="00A536DB"/>
    <w:rsid w:val="00A633A5"/>
    <w:rsid w:val="00A717F6"/>
    <w:rsid w:val="00A94DB0"/>
    <w:rsid w:val="00AB55C1"/>
    <w:rsid w:val="00AD0607"/>
    <w:rsid w:val="00B02E1A"/>
    <w:rsid w:val="00B04B6D"/>
    <w:rsid w:val="00B26FBA"/>
    <w:rsid w:val="00B3795C"/>
    <w:rsid w:val="00B623E3"/>
    <w:rsid w:val="00B77E21"/>
    <w:rsid w:val="00B83B17"/>
    <w:rsid w:val="00B85E0D"/>
    <w:rsid w:val="00BB2E25"/>
    <w:rsid w:val="00BB5311"/>
    <w:rsid w:val="00BB6462"/>
    <w:rsid w:val="00BD630C"/>
    <w:rsid w:val="00BD7381"/>
    <w:rsid w:val="00BF3620"/>
    <w:rsid w:val="00C0516A"/>
    <w:rsid w:val="00C06820"/>
    <w:rsid w:val="00C2074B"/>
    <w:rsid w:val="00C375B6"/>
    <w:rsid w:val="00C76F0A"/>
    <w:rsid w:val="00C840FE"/>
    <w:rsid w:val="00C92B21"/>
    <w:rsid w:val="00C96B6A"/>
    <w:rsid w:val="00CD48C4"/>
    <w:rsid w:val="00CD7B50"/>
    <w:rsid w:val="00CE7905"/>
    <w:rsid w:val="00CF035A"/>
    <w:rsid w:val="00D01859"/>
    <w:rsid w:val="00D26400"/>
    <w:rsid w:val="00D46A19"/>
    <w:rsid w:val="00D61328"/>
    <w:rsid w:val="00D63765"/>
    <w:rsid w:val="00D83EE3"/>
    <w:rsid w:val="00D86F9F"/>
    <w:rsid w:val="00D90220"/>
    <w:rsid w:val="00D96450"/>
    <w:rsid w:val="00E01594"/>
    <w:rsid w:val="00E2271B"/>
    <w:rsid w:val="00E32257"/>
    <w:rsid w:val="00E32E7C"/>
    <w:rsid w:val="00E62070"/>
    <w:rsid w:val="00E71C3C"/>
    <w:rsid w:val="00E73B2D"/>
    <w:rsid w:val="00E75508"/>
    <w:rsid w:val="00E93803"/>
    <w:rsid w:val="00EA1868"/>
    <w:rsid w:val="00ED3A4F"/>
    <w:rsid w:val="00EF2AA7"/>
    <w:rsid w:val="00F12580"/>
    <w:rsid w:val="00F302FC"/>
    <w:rsid w:val="00F6787B"/>
    <w:rsid w:val="00FA3D01"/>
    <w:rsid w:val="00FA773B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52112"/>
  <w15:docId w15:val="{47C52AC0-A46D-4D79-A39E-E5ECE315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E0D"/>
    <w:pPr>
      <w:spacing w:after="200" w:line="276" w:lineRule="auto"/>
      <w:jc w:val="left"/>
    </w:pPr>
  </w:style>
  <w:style w:type="paragraph" w:styleId="Titre1">
    <w:name w:val="heading 1"/>
    <w:basedOn w:val="Normal"/>
    <w:link w:val="Titre1Car"/>
    <w:uiPriority w:val="9"/>
    <w:qFormat/>
    <w:rsid w:val="00D9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85E0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B85E0D"/>
    <w:rPr>
      <w:rFonts w:ascii="Times New Roman" w:eastAsia="Times New Roman" w:hAnsi="Times New Roman" w:cs="Times New Roman"/>
      <w:b/>
      <w:bCs/>
      <w:sz w:val="32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8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5E0D"/>
  </w:style>
  <w:style w:type="paragraph" w:styleId="Pieddepage">
    <w:name w:val="footer"/>
    <w:basedOn w:val="Normal"/>
    <w:link w:val="PieddepageCar"/>
    <w:uiPriority w:val="99"/>
    <w:unhideWhenUsed/>
    <w:rsid w:val="00B85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5E0D"/>
  </w:style>
  <w:style w:type="paragraph" w:styleId="Corpsdetexte2">
    <w:name w:val="Body Text 2"/>
    <w:basedOn w:val="Normal"/>
    <w:link w:val="Corpsdetexte2Car"/>
    <w:semiHidden/>
    <w:rsid w:val="003C64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3C645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D07AD"/>
    <w:pPr>
      <w:ind w:left="720"/>
      <w:contextualSpacing/>
    </w:pPr>
  </w:style>
  <w:style w:type="character" w:styleId="Lienhypertexte">
    <w:name w:val="Hyperlink"/>
    <w:basedOn w:val="Policepardfaut"/>
    <w:semiHidden/>
    <w:unhideWhenUsed/>
    <w:rsid w:val="007D4249"/>
    <w:rPr>
      <w:color w:val="0000FF" w:themeColor="hyperlink"/>
      <w:u w:val="single"/>
    </w:rPr>
  </w:style>
  <w:style w:type="paragraph" w:customStyle="1" w:styleId="Formatlibre">
    <w:name w:val="Format libre"/>
    <w:rsid w:val="007D4249"/>
    <w:pPr>
      <w:spacing w:after="120"/>
    </w:pPr>
    <w:rPr>
      <w:rFonts w:ascii="Times New Roman" w:eastAsia="ヒラギノ角ゴ Pro W3" w:hAnsi="Times New Roman" w:cs="Times New Roman"/>
      <w:color w:val="3F3F3F"/>
      <w:szCs w:val="20"/>
      <w:lang w:eastAsia="fr-FR"/>
    </w:rPr>
  </w:style>
  <w:style w:type="paragraph" w:customStyle="1" w:styleId="Ontvotladelib">
    <w:name w:val="Ont voté la delib"/>
    <w:basedOn w:val="Normal"/>
    <w:rsid w:val="007D4249"/>
    <w:pPr>
      <w:autoSpaceDE w:val="0"/>
      <w:autoSpaceDN w:val="0"/>
      <w:spacing w:after="140" w:line="240" w:lineRule="auto"/>
      <w:jc w:val="both"/>
    </w:pPr>
    <w:rPr>
      <w:rFonts w:ascii="Arial" w:eastAsia="Calibri" w:hAnsi="Arial" w:cs="Arial"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7D4249"/>
    <w:rPr>
      <w:b/>
      <w:bCs/>
    </w:rPr>
  </w:style>
  <w:style w:type="paragraph" w:customStyle="1" w:styleId="Default">
    <w:name w:val="Default"/>
    <w:rsid w:val="00CF03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D9022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customStyle="1" w:styleId="paragraph">
    <w:name w:val="paragraph"/>
    <w:basedOn w:val="Normal"/>
    <w:rsid w:val="0035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35602D"/>
  </w:style>
  <w:style w:type="character" w:customStyle="1" w:styleId="eop">
    <w:name w:val="eop"/>
    <w:basedOn w:val="Policepardfaut"/>
    <w:rsid w:val="0035602D"/>
  </w:style>
  <w:style w:type="character" w:styleId="Marquedecommentaire">
    <w:name w:val="annotation reference"/>
    <w:basedOn w:val="Policepardfaut"/>
    <w:uiPriority w:val="99"/>
    <w:semiHidden/>
    <w:unhideWhenUsed/>
    <w:rsid w:val="00E75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75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75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75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755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2638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 Blettery</dc:creator>
  <cp:lastModifiedBy>Malvina HANNOTEAUX</cp:lastModifiedBy>
  <cp:revision>2</cp:revision>
  <cp:lastPrinted>2021-03-11T13:15:00Z</cp:lastPrinted>
  <dcterms:created xsi:type="dcterms:W3CDTF">2024-09-30T12:32:00Z</dcterms:created>
  <dcterms:modified xsi:type="dcterms:W3CDTF">2024-09-30T12:32:00Z</dcterms:modified>
</cp:coreProperties>
</file>